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:rsidR="00D96C48" w:rsidRDefault="00A97C7C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Urządzenie do kompresji klatki piersiowej</w:t>
      </w:r>
      <w:r w:rsidR="00E60D87" w:rsidRPr="00C0010F">
        <w:rPr>
          <w:rFonts w:ascii="Arial" w:hAnsi="Arial" w:cs="Arial"/>
          <w:b/>
          <w:sz w:val="24"/>
          <w:szCs w:val="28"/>
        </w:rPr>
        <w:t xml:space="preserve"> 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- </w:t>
      </w:r>
      <w:r>
        <w:rPr>
          <w:rFonts w:ascii="Arial" w:hAnsi="Arial" w:cs="Arial"/>
          <w:b/>
          <w:sz w:val="24"/>
          <w:szCs w:val="28"/>
        </w:rPr>
        <w:t>1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szt.</w:t>
      </w:r>
    </w:p>
    <w:p w:rsidR="00C0010F" w:rsidRPr="00CD5316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102EA3" w:rsidRPr="00102EA3" w:rsidRDefault="00102EA3" w:rsidP="00102EA3">
      <w:pPr>
        <w:ind w:right="565"/>
        <w:jc w:val="both"/>
        <w:rPr>
          <w:rFonts w:ascii="Verdana" w:hAnsi="Verdana" w:cs="Arial"/>
          <w:b/>
          <w:i/>
          <w:sz w:val="16"/>
        </w:rPr>
      </w:pPr>
    </w:p>
    <w:p w:rsidR="00102EA3" w:rsidRPr="00854C20" w:rsidRDefault="00102EA3" w:rsidP="00102EA3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Szczegółowy opis wypełnienia niniejszego załącznika znajduje się </w:t>
      </w:r>
      <w:r>
        <w:rPr>
          <w:rFonts w:ascii="Verdana" w:hAnsi="Verdana" w:cs="Arial"/>
          <w:b/>
          <w:i/>
          <w:sz w:val="20"/>
        </w:rPr>
        <w:t xml:space="preserve">    </w:t>
      </w:r>
      <w:r w:rsidRPr="00854C20">
        <w:rPr>
          <w:rFonts w:ascii="Verdana" w:hAnsi="Verdana" w:cs="Arial"/>
          <w:b/>
          <w:i/>
          <w:sz w:val="20"/>
        </w:rPr>
        <w:t>w Rozdz. X, pkt. 2 SIWZ.</w:t>
      </w:r>
    </w:p>
    <w:p w:rsidR="00C0010F" w:rsidRPr="00102EA3" w:rsidRDefault="00C0010F" w:rsidP="00C0010F">
      <w:pPr>
        <w:pStyle w:val="Tekstpodstawowy"/>
        <w:jc w:val="center"/>
        <w:rPr>
          <w:rFonts w:ascii="Arial" w:hAnsi="Arial" w:cs="Arial"/>
          <w:color w:val="FF0000"/>
          <w:sz w:val="1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Wykonawca/Producent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B662EC">
              <w:rPr>
                <w:rFonts w:ascii="Verdana" w:hAnsi="Verdana" w:cs="Arial"/>
                <w:sz w:val="20"/>
              </w:rPr>
              <w:t>nie starszy niż 201</w:t>
            </w:r>
            <w:r w:rsidR="002F0F61">
              <w:rPr>
                <w:rFonts w:ascii="Verdana" w:hAnsi="Verdana" w:cs="Arial"/>
                <w:sz w:val="20"/>
              </w:rPr>
              <w:t>7</w:t>
            </w:r>
            <w:r w:rsidR="00B662EC">
              <w:rPr>
                <w:rFonts w:ascii="Verdana" w:hAnsi="Verdana" w:cs="Arial"/>
                <w:sz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AC1F88" w:rsidRPr="00AC1F88" w:rsidRDefault="00AC1F88">
      <w:pPr>
        <w:rPr>
          <w:b/>
          <w:sz w:val="28"/>
          <w:szCs w:val="28"/>
        </w:rPr>
      </w:pPr>
      <w:bookmarkStart w:id="0" w:name="_Hlk512257171"/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12"/>
        <w:gridCol w:w="2835"/>
        <w:gridCol w:w="2741"/>
        <w:gridCol w:w="88"/>
        <w:gridCol w:w="6"/>
      </w:tblGrid>
      <w:tr w:rsidR="00706369" w:rsidRPr="00E33C7F" w:rsidTr="002F0F61">
        <w:trPr>
          <w:gridAfter w:val="2"/>
          <w:wAfter w:w="94" w:type="dxa"/>
          <w:trHeight w:val="433"/>
        </w:trPr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06369" w:rsidRPr="00E33C7F" w:rsidRDefault="00706369" w:rsidP="0070636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12590266"/>
            <w:bookmarkEnd w:id="0"/>
            <w:r w:rsidRPr="00E33C7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E33C7F" w:rsidRDefault="00706369" w:rsidP="00706369">
            <w:pPr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E33C7F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05C2" w:rsidRPr="00E33C7F" w:rsidRDefault="007305C2" w:rsidP="007305C2">
            <w:pPr>
              <w:pStyle w:val="Style59"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E33C7F">
              <w:rPr>
                <w:rStyle w:val="FontStyle76"/>
                <w:rFonts w:eastAsia="Microsoft YaHei"/>
                <w:color w:val="auto"/>
              </w:rPr>
              <w:t xml:space="preserve">PARAMETRY GRANICZNE/ </w:t>
            </w:r>
          </w:p>
          <w:p w:rsidR="00706369" w:rsidRPr="00E33C7F" w:rsidRDefault="007305C2" w:rsidP="007305C2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E33C7F">
              <w:rPr>
                <w:rStyle w:val="FontStyle76"/>
                <w:rFonts w:eastAsia="Microsoft YaHei"/>
                <w:color w:val="auto"/>
              </w:rPr>
              <w:t>ilość punktów w kryterium oceny parametrów technicznych</w:t>
            </w:r>
          </w:p>
        </w:tc>
        <w:tc>
          <w:tcPr>
            <w:tcW w:w="2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E33C7F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C7F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706369" w:rsidRPr="00E33C7F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C7F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8C7EE0" w:rsidRPr="00E33C7F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podaje</w:t>
            </w:r>
            <w:r w:rsidRPr="00E33C7F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Wykonawca)</w:t>
            </w:r>
          </w:p>
        </w:tc>
      </w:tr>
      <w:bookmarkEnd w:id="1"/>
      <w:tr w:rsidR="002F0F61" w:rsidRPr="00E33C7F" w:rsidTr="002F0F61">
        <w:trPr>
          <w:gridAfter w:val="2"/>
          <w:wAfter w:w="94" w:type="dxa"/>
          <w:trHeight w:val="45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E33C7F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E33C7F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E33C7F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E33C7F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F0F61" w:rsidRPr="00E33C7F" w:rsidTr="002F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683" w:type="dxa"/>
            <w:shd w:val="clear" w:color="auto" w:fill="auto"/>
          </w:tcPr>
          <w:p w:rsidR="002F0F61" w:rsidRPr="00E33C7F" w:rsidRDefault="002F0F61" w:rsidP="002F0F6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Cykl pracy: 50% kompresja / 50 % dekompresja</w:t>
            </w:r>
          </w:p>
        </w:tc>
        <w:tc>
          <w:tcPr>
            <w:tcW w:w="2835" w:type="dxa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0F61" w:rsidRPr="00E33C7F" w:rsidTr="002F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683" w:type="dxa"/>
            <w:shd w:val="clear" w:color="auto" w:fill="auto"/>
          </w:tcPr>
          <w:p w:rsidR="002F0F61" w:rsidRPr="00E33C7F" w:rsidRDefault="002F0F61" w:rsidP="002F0F6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Działanie urządzenia w pełni elektryczne</w:t>
            </w:r>
          </w:p>
        </w:tc>
        <w:tc>
          <w:tcPr>
            <w:tcW w:w="2835" w:type="dxa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0F61" w:rsidRPr="00E33C7F" w:rsidTr="002F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2F0F61" w:rsidRPr="00E33C7F" w:rsidRDefault="002F0F61" w:rsidP="002F0F6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Głębokość i częstość kompresji zgodnie z wytycznymi ERC</w:t>
            </w:r>
          </w:p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Głębokość – od 5 do 6 cm</w:t>
            </w:r>
          </w:p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 xml:space="preserve">Częstość – od 100 do 120 </w:t>
            </w:r>
            <w:proofErr w:type="spellStart"/>
            <w:r w:rsidRPr="00E33C7F">
              <w:rPr>
                <w:rFonts w:ascii="Times New Roman" w:eastAsia="Times New Roman" w:hAnsi="Times New Roman" w:cs="Times New Roman"/>
              </w:rPr>
              <w:t>uc</w:t>
            </w:r>
            <w:proofErr w:type="spellEnd"/>
            <w:r w:rsidRPr="00E33C7F">
              <w:rPr>
                <w:rFonts w:ascii="Times New Roman" w:eastAsia="Times New Roman" w:hAnsi="Times New Roman" w:cs="Times New Roman"/>
              </w:rPr>
              <w:t>./min.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 xml:space="preserve">Tak      </w:t>
            </w:r>
          </w:p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F0F61" w:rsidRPr="00E33C7F" w:rsidRDefault="002F0F61" w:rsidP="002F0F6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3C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F0F61" w:rsidRPr="00E33C7F" w:rsidTr="0089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0F61" w:rsidRPr="00E33C7F" w:rsidRDefault="002F0F61" w:rsidP="002F0F6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Możliwość kompresji klatki piersiowej u „małych dorosłych pacjentów” i „dużych dzieci z głębokością ucisku w granicach 4 – 5 cm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3C7F" w:rsidRPr="00E33C7F" w:rsidRDefault="00E33C7F" w:rsidP="008C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3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</w:p>
          <w:p w:rsidR="002F0F61" w:rsidRPr="00E33C7F" w:rsidRDefault="008C7EE0" w:rsidP="008C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Parametr punktowany:</w:t>
            </w:r>
          </w:p>
          <w:p w:rsidR="008C7EE0" w:rsidRPr="00E33C7F" w:rsidRDefault="008C7EE0" w:rsidP="008C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3C7F">
              <w:rPr>
                <w:rFonts w:ascii="Times New Roman" w:eastAsia="Times New Roman" w:hAnsi="Times New Roman" w:cs="Times New Roman"/>
                <w:bCs/>
              </w:rPr>
              <w:t>Tak -  10 pkt</w:t>
            </w:r>
          </w:p>
          <w:p w:rsidR="002F0F61" w:rsidRPr="00E33C7F" w:rsidRDefault="008C7EE0" w:rsidP="008C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  <w:bCs/>
              </w:rPr>
              <w:t>Nie – 0 pkt.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0F61" w:rsidRPr="00E33C7F" w:rsidTr="0089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0F61" w:rsidRPr="00E33C7F" w:rsidRDefault="002F0F61" w:rsidP="002F0F6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Aktywna dekompresja – wspomaganie odprężenia klatki piersiowej przez ssawkę ( np. podciśnienie podczas ruchu zwrotnego przyśpiesza relaksację 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3C7F" w:rsidRPr="00E33C7F" w:rsidRDefault="00E33C7F" w:rsidP="00E3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3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</w:p>
          <w:p w:rsidR="002F0F61" w:rsidRPr="00E33C7F" w:rsidRDefault="008C7EE0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E33C7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Parametr punktowany:</w:t>
            </w:r>
          </w:p>
          <w:p w:rsidR="008C7EE0" w:rsidRPr="00E33C7F" w:rsidRDefault="008C7EE0" w:rsidP="008C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3C7F">
              <w:rPr>
                <w:rFonts w:ascii="Times New Roman" w:eastAsia="Times New Roman" w:hAnsi="Times New Roman" w:cs="Times New Roman"/>
                <w:bCs/>
              </w:rPr>
              <w:t>Tak -  10 pkt</w:t>
            </w:r>
          </w:p>
          <w:p w:rsidR="008C7EE0" w:rsidRPr="00E33C7F" w:rsidRDefault="008C7EE0" w:rsidP="008C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  <w:bCs/>
              </w:rPr>
              <w:t>Nie – 0 pkt.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0F61" w:rsidRPr="00E33C7F" w:rsidTr="00E3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14"/>
        </w:trPr>
        <w:tc>
          <w:tcPr>
            <w:tcW w:w="683" w:type="dxa"/>
            <w:shd w:val="clear" w:color="auto" w:fill="auto"/>
          </w:tcPr>
          <w:p w:rsidR="002F0F61" w:rsidRPr="00E33C7F" w:rsidRDefault="002F0F61" w:rsidP="002F0F6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 xml:space="preserve">Źródło zasilania: </w:t>
            </w:r>
          </w:p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 xml:space="preserve">- akumulator wewnętrzny                         </w:t>
            </w:r>
          </w:p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 xml:space="preserve">- zasilanie ze ściany karetki DC min. 12 – 28 V                                                  </w:t>
            </w:r>
          </w:p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 xml:space="preserve">- zasilanie z gniazda sieci AC min. 210 - 250 V      </w:t>
            </w:r>
          </w:p>
        </w:tc>
        <w:tc>
          <w:tcPr>
            <w:tcW w:w="2835" w:type="dxa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Tak</w:t>
            </w:r>
          </w:p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5E0D" w:rsidRPr="00E33C7F" w:rsidTr="00E3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4"/>
        </w:trPr>
        <w:tc>
          <w:tcPr>
            <w:tcW w:w="683" w:type="dxa"/>
            <w:shd w:val="clear" w:color="auto" w:fill="D9D9D9" w:themeFill="background1" w:themeFillShade="D9"/>
          </w:tcPr>
          <w:p w:rsidR="002F0F61" w:rsidRPr="00E33C7F" w:rsidRDefault="002F0F61" w:rsidP="002F0F6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D9D9D9" w:themeFill="background1" w:themeFillShade="D9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Czas ładowania akumulatora wewnętrznego max. 120 min.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33C7F" w:rsidRPr="00E33C7F" w:rsidRDefault="00E33C7F" w:rsidP="00E3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3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</w:p>
          <w:p w:rsidR="002F0F61" w:rsidRPr="00E33C7F" w:rsidRDefault="008C7EE0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E33C7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Parametr punktowany:</w:t>
            </w:r>
          </w:p>
          <w:p w:rsidR="008C7EE0" w:rsidRPr="00E33C7F" w:rsidRDefault="008C7EE0" w:rsidP="008C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3C7F">
              <w:rPr>
                <w:rFonts w:ascii="Times New Roman" w:eastAsia="Times New Roman" w:hAnsi="Times New Roman" w:cs="Times New Roman"/>
                <w:bCs/>
              </w:rPr>
              <w:t>Tak -  10 pkt</w:t>
            </w:r>
          </w:p>
          <w:p w:rsidR="008C7EE0" w:rsidRPr="00E33C7F" w:rsidRDefault="008C7EE0" w:rsidP="008C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  <w:bCs/>
              </w:rPr>
              <w:t>Nie – 0 pkt.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0F61" w:rsidRPr="00E33C7F" w:rsidTr="002F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3" w:type="dxa"/>
            <w:shd w:val="clear" w:color="auto" w:fill="auto"/>
          </w:tcPr>
          <w:p w:rsidR="002F0F61" w:rsidRPr="00E33C7F" w:rsidRDefault="002F0F61" w:rsidP="002F0F6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Możliwość automatycznego doładowywania akumulatora wewnętrznego w urządzeniu podczas jego pracy (wykonywanie RKO) z zewnętrznego źródła zasilania (230 V AC lub 12 V DC)</w:t>
            </w:r>
          </w:p>
        </w:tc>
        <w:tc>
          <w:tcPr>
            <w:tcW w:w="2835" w:type="dxa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C7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2F0F61" w:rsidRPr="00E33C7F" w:rsidTr="002F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3" w:type="dxa"/>
            <w:shd w:val="clear" w:color="auto" w:fill="auto"/>
          </w:tcPr>
          <w:p w:rsidR="002F0F61" w:rsidRPr="00E33C7F" w:rsidRDefault="002F0F61" w:rsidP="002F0F6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Ładowarka wewnątrz urządzenia</w:t>
            </w:r>
          </w:p>
        </w:tc>
        <w:tc>
          <w:tcPr>
            <w:tcW w:w="2835" w:type="dxa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C7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2F0F61" w:rsidRPr="00E33C7F" w:rsidTr="002F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3" w:type="dxa"/>
            <w:shd w:val="clear" w:color="auto" w:fill="auto"/>
          </w:tcPr>
          <w:p w:rsidR="002F0F61" w:rsidRPr="00E33C7F" w:rsidRDefault="002F0F61" w:rsidP="002F0F6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 xml:space="preserve">Możliwość wykonywania ciągłej, nieprzerwanej kompresji w trakcie transportu pacjenta przy  zasilaniu z akumulatora wewnętrznego :  min. 45 min.          </w:t>
            </w:r>
          </w:p>
        </w:tc>
        <w:tc>
          <w:tcPr>
            <w:tcW w:w="2835" w:type="dxa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Tak</w:t>
            </w:r>
          </w:p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E33C7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2F0F61" w:rsidRPr="00E33C7F" w:rsidTr="002F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3" w:type="dxa"/>
            <w:shd w:val="clear" w:color="auto" w:fill="auto"/>
          </w:tcPr>
          <w:p w:rsidR="002F0F61" w:rsidRPr="00E33C7F" w:rsidRDefault="002F0F61" w:rsidP="002F0F6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Możliwość wykonania defibrylacji bez konieczności zdejmowania urządzenia z pacjenta</w:t>
            </w:r>
          </w:p>
        </w:tc>
        <w:tc>
          <w:tcPr>
            <w:tcW w:w="2835" w:type="dxa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0F61" w:rsidRPr="00E33C7F" w:rsidTr="00C8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1"/>
        </w:trPr>
        <w:tc>
          <w:tcPr>
            <w:tcW w:w="683" w:type="dxa"/>
            <w:shd w:val="clear" w:color="auto" w:fill="auto"/>
          </w:tcPr>
          <w:p w:rsidR="002F0F61" w:rsidRPr="00E33C7F" w:rsidRDefault="002F0F61" w:rsidP="002F0F6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Waga kompletnego urządzenia z akcesoriami i torbą /plecakiem &lt; 12 kg</w:t>
            </w:r>
          </w:p>
        </w:tc>
        <w:tc>
          <w:tcPr>
            <w:tcW w:w="2835" w:type="dxa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95E0D" w:rsidRPr="00E33C7F" w:rsidTr="0089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3" w:type="dxa"/>
            <w:shd w:val="clear" w:color="auto" w:fill="D9D9D9" w:themeFill="background1" w:themeFillShade="D9"/>
          </w:tcPr>
          <w:p w:rsidR="002F0F61" w:rsidRPr="00E33C7F" w:rsidRDefault="002F0F61" w:rsidP="002F0F6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D9D9D9" w:themeFill="background1" w:themeFillShade="D9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Bezprzewodowa transmisja (</w:t>
            </w:r>
            <w:proofErr w:type="spellStart"/>
            <w:r w:rsidRPr="00E33C7F">
              <w:rPr>
                <w:rFonts w:ascii="Times New Roman" w:eastAsia="Times New Roman" w:hAnsi="Times New Roman" w:cs="Times New Roman"/>
              </w:rPr>
              <w:t>bluetooth</w:t>
            </w:r>
            <w:proofErr w:type="spellEnd"/>
            <w:r w:rsidRPr="00E33C7F">
              <w:rPr>
                <w:rFonts w:ascii="Times New Roman" w:eastAsia="Times New Roman" w:hAnsi="Times New Roman" w:cs="Times New Roman"/>
              </w:rPr>
              <w:t>) danych  z pamięci urządzenia o parametrach prowadzonej resuscytacji i jej przebiegu w czasie do komputera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33C7F" w:rsidRPr="00E33C7F" w:rsidRDefault="00E33C7F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r w:rsidR="002C2A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/Nie</w:t>
            </w:r>
            <w:bookmarkStart w:id="2" w:name="_GoBack"/>
            <w:bookmarkEnd w:id="2"/>
          </w:p>
          <w:p w:rsidR="002F0F61" w:rsidRPr="00E33C7F" w:rsidRDefault="008C7EE0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E33C7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Parametr punktowany:</w:t>
            </w:r>
          </w:p>
          <w:p w:rsidR="008C7EE0" w:rsidRPr="00E33C7F" w:rsidRDefault="008C7EE0" w:rsidP="008C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3C7F">
              <w:rPr>
                <w:rFonts w:ascii="Times New Roman" w:eastAsia="Times New Roman" w:hAnsi="Times New Roman" w:cs="Times New Roman"/>
                <w:bCs/>
              </w:rPr>
              <w:t xml:space="preserve">Transmisja </w:t>
            </w:r>
            <w:proofErr w:type="spellStart"/>
            <w:r w:rsidRPr="00E33C7F">
              <w:rPr>
                <w:rFonts w:ascii="Times New Roman" w:eastAsia="Times New Roman" w:hAnsi="Times New Roman" w:cs="Times New Roman"/>
                <w:bCs/>
              </w:rPr>
              <w:t>bluetooth</w:t>
            </w:r>
            <w:proofErr w:type="spellEnd"/>
          </w:p>
          <w:p w:rsidR="008C7EE0" w:rsidRPr="00E33C7F" w:rsidRDefault="008C7EE0" w:rsidP="008C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3C7F">
              <w:rPr>
                <w:rFonts w:ascii="Times New Roman" w:eastAsia="Times New Roman" w:hAnsi="Times New Roman" w:cs="Times New Roman"/>
                <w:bCs/>
              </w:rPr>
              <w:t>- 10 pkt</w:t>
            </w:r>
          </w:p>
          <w:p w:rsidR="008C7EE0" w:rsidRPr="00E33C7F" w:rsidRDefault="008C7EE0" w:rsidP="008C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  <w:bCs/>
              </w:rPr>
              <w:t>Inne rodzaje transmisji lub jej brak  - 0 pkt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0F61" w:rsidRPr="00E33C7F" w:rsidTr="002F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3" w:type="dxa"/>
            <w:shd w:val="clear" w:color="auto" w:fill="auto"/>
          </w:tcPr>
          <w:p w:rsidR="002F0F61" w:rsidRPr="00E33C7F" w:rsidRDefault="002F0F61" w:rsidP="002F0F6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Wyposażenie aparatu:</w:t>
            </w:r>
          </w:p>
          <w:p w:rsidR="002F0F61" w:rsidRPr="00E33C7F" w:rsidRDefault="002F0F61" w:rsidP="002F0F6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torba lub plecak</w:t>
            </w:r>
          </w:p>
          <w:p w:rsidR="002F0F61" w:rsidRPr="00E33C7F" w:rsidRDefault="002F0F61" w:rsidP="002F0F6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deska pod plecy</w:t>
            </w:r>
          </w:p>
          <w:p w:rsidR="002F0F61" w:rsidRPr="00E33C7F" w:rsidRDefault="002F0F61" w:rsidP="002F0F6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podkładka stabilizująca pod głowę</w:t>
            </w:r>
          </w:p>
          <w:p w:rsidR="002F0F61" w:rsidRPr="00E33C7F" w:rsidRDefault="002F0F61" w:rsidP="002F0F6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pasy do mocowania rąk pacjenta do urządzenia</w:t>
            </w:r>
          </w:p>
          <w:p w:rsidR="002F0F61" w:rsidRPr="00E33C7F" w:rsidRDefault="002F0F61" w:rsidP="002F0F6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jednorazowe elementy bezpośredniego kontaktu z pacjent</w:t>
            </w:r>
            <w:r w:rsidR="00895E0D" w:rsidRPr="00E33C7F">
              <w:rPr>
                <w:rFonts w:ascii="Times New Roman" w:eastAsia="Times New Roman" w:hAnsi="Times New Roman" w:cs="Times New Roman"/>
              </w:rPr>
              <w:t>e</w:t>
            </w:r>
            <w:r w:rsidRPr="00E33C7F">
              <w:rPr>
                <w:rFonts w:ascii="Times New Roman" w:eastAsia="Times New Roman" w:hAnsi="Times New Roman" w:cs="Times New Roman"/>
              </w:rPr>
              <w:t>m przy masażu (min. 12 szt.)</w:t>
            </w:r>
          </w:p>
          <w:p w:rsidR="002F0F61" w:rsidRPr="00E33C7F" w:rsidRDefault="002F0F61" w:rsidP="002F0F6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 xml:space="preserve">akumulator </w:t>
            </w:r>
          </w:p>
          <w:p w:rsidR="002F0F61" w:rsidRPr="00E33C7F" w:rsidRDefault="002F0F61" w:rsidP="002F0F6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ładowarka do akumulatorów</w:t>
            </w:r>
          </w:p>
        </w:tc>
        <w:tc>
          <w:tcPr>
            <w:tcW w:w="2835" w:type="dxa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3C7F">
              <w:rPr>
                <w:rFonts w:ascii="Times New Roman" w:eastAsia="Times New Roman" w:hAnsi="Times New Roman" w:cs="Times New Roman"/>
              </w:rPr>
              <w:t>Tak</w:t>
            </w:r>
          </w:p>
          <w:p w:rsidR="002F0F61" w:rsidRPr="00E33C7F" w:rsidRDefault="002F0F61" w:rsidP="002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F0F61" w:rsidRPr="00E33C7F" w:rsidRDefault="002F0F61" w:rsidP="002F0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C7EE0" w:rsidRDefault="008C7EE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bookmarkStart w:id="3" w:name="_Hlk512596794"/>
    </w:p>
    <w:p w:rsidR="00102EA3" w:rsidRDefault="00102EA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102EA3" w:rsidRDefault="00102EA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102EA3" w:rsidRDefault="00102EA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102EA3" w:rsidRDefault="00102EA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102EA3" w:rsidRDefault="00102EA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102EA3" w:rsidRDefault="00102EA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102EA3" w:rsidRDefault="00102EA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102EA3" w:rsidRDefault="00102EA3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8C7EE0" w:rsidRPr="00767A51" w:rsidRDefault="008C7EE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r w:rsidRPr="00767A51">
        <w:rPr>
          <w:rFonts w:ascii="Tahoma" w:eastAsia="Times New Roman" w:hAnsi="Tahoma" w:cs="Tahoma"/>
          <w:b/>
          <w:i/>
          <w:sz w:val="24"/>
          <w:szCs w:val="24"/>
        </w:rPr>
        <w:lastRenderedPageBreak/>
        <w:t xml:space="preserve">WARUNKI  GWARANCJI  I  SERWISU </w:t>
      </w:r>
    </w:p>
    <w:bookmarkEnd w:id="3"/>
    <w:p w:rsidR="008C7EE0" w:rsidRPr="00767A51" w:rsidRDefault="008C7EE0" w:rsidP="008C7E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przez autoryzowany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serwis producenta,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cantSplit/>
          <w:jc w:val="center"/>
        </w:trPr>
        <w:tc>
          <w:tcPr>
            <w:tcW w:w="426" w:type="dxa"/>
            <w:vAlign w:val="center"/>
          </w:tcPr>
          <w:p w:rsidR="008C7EE0" w:rsidRPr="0076095E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8C7EE0" w:rsidRPr="00102EA3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02EA3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8C7EE0" w:rsidRPr="00102EA3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02EA3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 w:rsidR="00102EA3" w:rsidRPr="00102EA3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</w:p>
        </w:tc>
        <w:tc>
          <w:tcPr>
            <w:tcW w:w="2179" w:type="dxa"/>
            <w:vAlign w:val="center"/>
          </w:tcPr>
          <w:p w:rsidR="008C7EE0" w:rsidRPr="004A64C8" w:rsidRDefault="008C7EE0" w:rsidP="000C555A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8C7EE0" w:rsidRPr="00102EA3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02EA3">
              <w:rPr>
                <w:rFonts w:ascii="Arial" w:eastAsia="Times New Roman" w:hAnsi="Arial" w:cs="Arial"/>
                <w:sz w:val="20"/>
                <w:lang w:eastAsia="pl-PL"/>
              </w:rPr>
              <w:t xml:space="preserve">W przypadku, gdy czas naprawy przekroczy </w:t>
            </w:r>
            <w:r w:rsidR="00102EA3" w:rsidRPr="00102EA3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  <w:r w:rsidRPr="00102EA3">
              <w:rPr>
                <w:rFonts w:ascii="Arial" w:eastAsia="Times New Roman" w:hAnsi="Arial" w:cs="Arial"/>
                <w:sz w:val="20"/>
                <w:lang w:eastAsia="pl-PL"/>
              </w:rPr>
              <w:t xml:space="preserve"> - Wykonawca jest zobowiązany na własny koszt do dostarczenia urządzenia zastępczego - takiego samego typu - na czas trwania naprawy. Zamawiający nie ponosi z tego tytułu ewentualnych dodatkowych kosztów</w:t>
            </w:r>
          </w:p>
        </w:tc>
        <w:tc>
          <w:tcPr>
            <w:tcW w:w="2179" w:type="dxa"/>
            <w:vAlign w:val="center"/>
          </w:tcPr>
          <w:p w:rsidR="008C7EE0" w:rsidRPr="00102EA3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02EA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</w:t>
            </w:r>
            <w:r w:rsidR="00102EA3">
              <w:rPr>
                <w:rFonts w:ascii="Arial" w:eastAsia="Times New Roman" w:hAnsi="Arial" w:cs="Arial"/>
                <w:sz w:val="20"/>
                <w:lang w:eastAsia="pl-PL"/>
              </w:rPr>
              <w:t>10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lat od daty dostawy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8C7EE0" w:rsidRPr="00767A51" w:rsidRDefault="008C7EE0" w:rsidP="008C7EE0">
      <w:pPr>
        <w:rPr>
          <w:rFonts w:ascii="Arial" w:hAnsi="Arial" w:cs="Arial"/>
          <w:sz w:val="18"/>
          <w:szCs w:val="18"/>
        </w:rPr>
      </w:pPr>
    </w:p>
    <w:p w:rsidR="002F0F61" w:rsidRPr="00767A51" w:rsidRDefault="002F0F61">
      <w:pPr>
        <w:rPr>
          <w:rFonts w:ascii="Arial" w:hAnsi="Arial" w:cs="Arial"/>
          <w:sz w:val="18"/>
          <w:szCs w:val="18"/>
        </w:rPr>
      </w:pPr>
    </w:p>
    <w:sectPr w:rsidR="002F0F6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42" w:rsidRDefault="00002942" w:rsidP="002F2BC0">
      <w:pPr>
        <w:spacing w:after="0" w:line="240" w:lineRule="auto"/>
      </w:pPr>
      <w:r>
        <w:separator/>
      </w:r>
    </w:p>
  </w:endnote>
  <w:endnote w:type="continuationSeparator" w:id="0">
    <w:p w:rsidR="00002942" w:rsidRDefault="00002942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="00A9722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9722D">
              <w:rPr>
                <w:b/>
                <w:bCs/>
                <w:sz w:val="24"/>
                <w:szCs w:val="24"/>
              </w:rPr>
              <w:fldChar w:fldCharType="separate"/>
            </w:r>
            <w:r w:rsidR="0030536C">
              <w:rPr>
                <w:b/>
                <w:bCs/>
                <w:noProof/>
              </w:rPr>
              <w:t>3</w:t>
            </w:r>
            <w:r w:rsidR="00A9722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9722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9722D">
              <w:rPr>
                <w:b/>
                <w:bCs/>
                <w:sz w:val="24"/>
                <w:szCs w:val="24"/>
              </w:rPr>
              <w:fldChar w:fldCharType="separate"/>
            </w:r>
            <w:r w:rsidR="0030536C">
              <w:rPr>
                <w:b/>
                <w:bCs/>
                <w:noProof/>
              </w:rPr>
              <w:t>3</w:t>
            </w:r>
            <w:r w:rsidR="00A9722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="00A9722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9722D">
              <w:rPr>
                <w:b/>
                <w:bCs/>
                <w:sz w:val="24"/>
                <w:szCs w:val="24"/>
              </w:rPr>
              <w:fldChar w:fldCharType="separate"/>
            </w:r>
            <w:r w:rsidR="0030536C">
              <w:rPr>
                <w:b/>
                <w:bCs/>
                <w:noProof/>
              </w:rPr>
              <w:t>1</w:t>
            </w:r>
            <w:r w:rsidR="00A9722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9722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9722D">
              <w:rPr>
                <w:b/>
                <w:bCs/>
                <w:sz w:val="24"/>
                <w:szCs w:val="24"/>
              </w:rPr>
              <w:fldChar w:fldCharType="separate"/>
            </w:r>
            <w:r w:rsidR="0030536C">
              <w:rPr>
                <w:b/>
                <w:bCs/>
                <w:noProof/>
              </w:rPr>
              <w:t>3</w:t>
            </w:r>
            <w:r w:rsidR="00A9722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942" w:rsidRDefault="00002942" w:rsidP="002F2BC0">
      <w:pPr>
        <w:spacing w:after="0" w:line="240" w:lineRule="auto"/>
      </w:pPr>
      <w:r>
        <w:separator/>
      </w:r>
    </w:p>
  </w:footnote>
  <w:footnote w:type="continuationSeparator" w:id="0">
    <w:p w:rsidR="00002942" w:rsidRDefault="00002942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C0010F">
    <w:pPr>
      <w:pStyle w:val="Nagwek"/>
      <w:rPr>
        <w:rFonts w:hint="eastAsia"/>
      </w:rPr>
    </w:pPr>
  </w:p>
  <w:p w:rsidR="00767A51" w:rsidRDefault="00767A51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102EA3">
      <w:rPr>
        <w:b/>
        <w:sz w:val="24"/>
        <w:szCs w:val="28"/>
      </w:rPr>
      <w:t>11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102EA3">
      <w:rPr>
        <w:b/>
        <w:i/>
        <w:sz w:val="24"/>
        <w:szCs w:val="28"/>
      </w:rPr>
      <w:t>11</w:t>
    </w:r>
    <w:r w:rsidRPr="00C0010F">
      <w:rPr>
        <w:b/>
        <w:i/>
        <w:sz w:val="24"/>
        <w:szCs w:val="28"/>
      </w:rPr>
      <w:t xml:space="preserve"> do SIWZ</w:t>
    </w:r>
  </w:p>
  <w:p w:rsidR="007305C2" w:rsidRPr="00EA5D15" w:rsidRDefault="007305C2" w:rsidP="00767A51">
    <w:pPr>
      <w:rPr>
        <w:b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924C52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E5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0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10F" w:rsidRDefault="00C0010F" w:rsidP="00C0010F">
    <w:pPr>
      <w:rPr>
        <w:b/>
        <w:sz w:val="28"/>
        <w:szCs w:val="28"/>
      </w:rPr>
    </w:pPr>
  </w:p>
  <w:p w:rsidR="00C0010F" w:rsidRPr="00C0010F" w:rsidRDefault="00C0010F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102EA3">
      <w:rPr>
        <w:b/>
        <w:sz w:val="24"/>
        <w:szCs w:val="28"/>
      </w:rPr>
      <w:t>11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102EA3">
      <w:rPr>
        <w:b/>
        <w:i/>
        <w:sz w:val="24"/>
        <w:szCs w:val="28"/>
      </w:rPr>
      <w:t>11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884"/>
    <w:multiLevelType w:val="hybridMultilevel"/>
    <w:tmpl w:val="F1A29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C48"/>
    <w:rsid w:val="00002942"/>
    <w:rsid w:val="00056155"/>
    <w:rsid w:val="000604E6"/>
    <w:rsid w:val="000761C6"/>
    <w:rsid w:val="00090063"/>
    <w:rsid w:val="00096F9F"/>
    <w:rsid w:val="000A61C7"/>
    <w:rsid w:val="00100733"/>
    <w:rsid w:val="00102EA3"/>
    <w:rsid w:val="00141E64"/>
    <w:rsid w:val="00160D37"/>
    <w:rsid w:val="001C2310"/>
    <w:rsid w:val="001D73BC"/>
    <w:rsid w:val="00241D92"/>
    <w:rsid w:val="0028186E"/>
    <w:rsid w:val="002C2AAD"/>
    <w:rsid w:val="002F0F61"/>
    <w:rsid w:val="002F2BC0"/>
    <w:rsid w:val="0030536C"/>
    <w:rsid w:val="00315209"/>
    <w:rsid w:val="00331660"/>
    <w:rsid w:val="0034251C"/>
    <w:rsid w:val="003566D0"/>
    <w:rsid w:val="003D547C"/>
    <w:rsid w:val="00431999"/>
    <w:rsid w:val="0046726E"/>
    <w:rsid w:val="00494E40"/>
    <w:rsid w:val="004A64C8"/>
    <w:rsid w:val="006D6CFD"/>
    <w:rsid w:val="006E1B70"/>
    <w:rsid w:val="006E7F90"/>
    <w:rsid w:val="00706369"/>
    <w:rsid w:val="007305C2"/>
    <w:rsid w:val="00761C07"/>
    <w:rsid w:val="00767A51"/>
    <w:rsid w:val="007762ED"/>
    <w:rsid w:val="00792286"/>
    <w:rsid w:val="007A1CC7"/>
    <w:rsid w:val="007A5134"/>
    <w:rsid w:val="007D6BB3"/>
    <w:rsid w:val="007E0FC2"/>
    <w:rsid w:val="008501ED"/>
    <w:rsid w:val="00895E0D"/>
    <w:rsid w:val="008C7EE0"/>
    <w:rsid w:val="00924C52"/>
    <w:rsid w:val="00947E81"/>
    <w:rsid w:val="00975B95"/>
    <w:rsid w:val="009A6AB4"/>
    <w:rsid w:val="009B0531"/>
    <w:rsid w:val="009B26A3"/>
    <w:rsid w:val="009B529B"/>
    <w:rsid w:val="009C40C7"/>
    <w:rsid w:val="00A346F2"/>
    <w:rsid w:val="00A6248E"/>
    <w:rsid w:val="00A76436"/>
    <w:rsid w:val="00A84B30"/>
    <w:rsid w:val="00A9722D"/>
    <w:rsid w:val="00A97C7C"/>
    <w:rsid w:val="00AC1F88"/>
    <w:rsid w:val="00B27E26"/>
    <w:rsid w:val="00B329F9"/>
    <w:rsid w:val="00B662EC"/>
    <w:rsid w:val="00BE0E5A"/>
    <w:rsid w:val="00C0010F"/>
    <w:rsid w:val="00C6177D"/>
    <w:rsid w:val="00C77938"/>
    <w:rsid w:val="00C81A6D"/>
    <w:rsid w:val="00CB1C67"/>
    <w:rsid w:val="00D11D98"/>
    <w:rsid w:val="00D34F6E"/>
    <w:rsid w:val="00D43CCD"/>
    <w:rsid w:val="00D61432"/>
    <w:rsid w:val="00D7687E"/>
    <w:rsid w:val="00D96C48"/>
    <w:rsid w:val="00DA72A2"/>
    <w:rsid w:val="00DC42DF"/>
    <w:rsid w:val="00DD10B5"/>
    <w:rsid w:val="00DE3581"/>
    <w:rsid w:val="00E33C7F"/>
    <w:rsid w:val="00E60D87"/>
    <w:rsid w:val="00EA5D15"/>
    <w:rsid w:val="00E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06CD"/>
  <w15:docId w15:val="{32C7E539-085A-4582-A65E-D8809EE9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22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A972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9722D"/>
    <w:pPr>
      <w:spacing w:after="140" w:line="288" w:lineRule="auto"/>
    </w:pPr>
  </w:style>
  <w:style w:type="paragraph" w:styleId="Lista">
    <w:name w:val="List"/>
    <w:basedOn w:val="Tekstpodstawowy"/>
    <w:rsid w:val="00A9722D"/>
    <w:rPr>
      <w:rFonts w:cs="Mangal"/>
    </w:rPr>
  </w:style>
  <w:style w:type="paragraph" w:styleId="Legenda">
    <w:name w:val="caption"/>
    <w:basedOn w:val="Normalny"/>
    <w:qFormat/>
    <w:rsid w:val="00A972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722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2B21-4D10-4980-99C5-C0C98BE8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2018-04-27T11:20:00Z</dcterms:created>
  <dcterms:modified xsi:type="dcterms:W3CDTF">2018-05-25T09:13:00Z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