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BE" w:rsidRPr="00662B69" w:rsidRDefault="00FB6EBE" w:rsidP="00FB6EBE">
      <w:pPr>
        <w:jc w:val="right"/>
        <w:rPr>
          <w:rFonts w:ascii="Arial" w:hAnsi="Arial" w:cs="Arial"/>
          <w:b/>
          <w:i/>
          <w:color w:val="FF0000"/>
          <w:sz w:val="20"/>
          <w:szCs w:val="28"/>
        </w:rPr>
      </w:pPr>
      <w:r w:rsidRPr="00662B69">
        <w:rPr>
          <w:rFonts w:ascii="Arial" w:hAnsi="Arial" w:cs="Arial"/>
          <w:b/>
          <w:i/>
          <w:color w:val="FF0000"/>
          <w:sz w:val="20"/>
          <w:szCs w:val="28"/>
        </w:rPr>
        <w:t>Modyfikacja z dnia 2</w:t>
      </w:r>
      <w:r>
        <w:rPr>
          <w:rFonts w:ascii="Arial" w:hAnsi="Arial" w:cs="Arial"/>
          <w:b/>
          <w:i/>
          <w:color w:val="FF0000"/>
          <w:sz w:val="20"/>
          <w:szCs w:val="28"/>
        </w:rPr>
        <w:t>1</w:t>
      </w:r>
      <w:r w:rsidRPr="00662B69">
        <w:rPr>
          <w:rFonts w:ascii="Arial" w:hAnsi="Arial" w:cs="Arial"/>
          <w:b/>
          <w:i/>
          <w:color w:val="FF0000"/>
          <w:sz w:val="20"/>
          <w:szCs w:val="28"/>
        </w:rPr>
        <w:t>.06.2018 r.</w:t>
      </w:r>
    </w:p>
    <w:p w:rsidR="00D96C48" w:rsidRDefault="000746F3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Poduszka </w:t>
      </w:r>
      <w:r w:rsidR="003657B9">
        <w:rPr>
          <w:rFonts w:ascii="Arial" w:hAnsi="Arial" w:cs="Arial"/>
          <w:b/>
          <w:sz w:val="24"/>
          <w:szCs w:val="28"/>
        </w:rPr>
        <w:t>bakteriostatyczna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3657B9">
        <w:rPr>
          <w:rFonts w:ascii="Arial" w:hAnsi="Arial" w:cs="Arial"/>
          <w:b/>
          <w:sz w:val="24"/>
          <w:szCs w:val="28"/>
        </w:rPr>
        <w:t>10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  <w:r w:rsidR="003657B9">
        <w:rPr>
          <w:rFonts w:ascii="Arial" w:hAnsi="Arial" w:cs="Arial"/>
          <w:b/>
          <w:sz w:val="24"/>
          <w:szCs w:val="28"/>
        </w:rPr>
        <w:t xml:space="preserve"> oraz Koc bakteriostatyczny – 10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A673E5" w:rsidRDefault="00A673E5" w:rsidP="00A673E5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A673E5" w:rsidRPr="00854C20" w:rsidRDefault="00A673E5" w:rsidP="00A673E5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10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7"/>
        <w:gridCol w:w="3712"/>
        <w:gridCol w:w="61"/>
        <w:gridCol w:w="2127"/>
        <w:gridCol w:w="3388"/>
      </w:tblGrid>
      <w:tr w:rsidR="00706369" w:rsidRPr="003657B9" w:rsidTr="00A673E5">
        <w:trPr>
          <w:trHeight w:val="433"/>
          <w:jc w:val="center"/>
        </w:trPr>
        <w:tc>
          <w:tcPr>
            <w:tcW w:w="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3657B9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3657B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3657B9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3657B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1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3657B9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3657B9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3657B9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3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3657B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3657B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3657B9" w:rsidTr="00A673E5">
        <w:trPr>
          <w:trHeight w:val="269"/>
          <w:jc w:val="center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657B9" w:rsidRPr="003657B9" w:rsidTr="0036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10046" w:type="dxa"/>
            <w:gridSpan w:val="6"/>
            <w:shd w:val="clear" w:color="auto" w:fill="D9D9D9" w:themeFill="background1" w:themeFillShade="D9"/>
          </w:tcPr>
          <w:p w:rsidR="003657B9" w:rsidRPr="003657B9" w:rsidRDefault="003657B9" w:rsidP="000C555A">
            <w:p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12596794"/>
            <w:r w:rsidRPr="003657B9">
              <w:rPr>
                <w:rFonts w:ascii="Times New Roman" w:hAnsi="Times New Roman" w:cs="Times New Roman"/>
                <w:b/>
              </w:rPr>
              <w:t>Poduszka bakteriostatyczna</w:t>
            </w: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3657B9" w:rsidRDefault="003657B9" w:rsidP="00A673E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Wymiary: 55 x 55 cm (+/- 5%)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57B9" w:rsidRPr="003657B9" w:rsidRDefault="003657B9" w:rsidP="000C555A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1223"/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</w:rPr>
              <w:t>Poduszka</w:t>
            </w:r>
            <w:r w:rsidRPr="003657B9">
              <w:rPr>
                <w:rFonts w:ascii="Times New Roman" w:hAnsi="Times New Roman" w:cs="Times New Roman"/>
                <w:lang w:val="cs-CZ"/>
              </w:rPr>
              <w:t xml:space="preserve"> wykonana z poliestrowego pokrowca pokrytego powłoką poliuretanową, wypełniony włóknem poliestrowym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7B9" w:rsidRPr="003657B9" w:rsidRDefault="003657B9" w:rsidP="000C555A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FF6118" w:rsidRDefault="003657B9" w:rsidP="00A673E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Kolor: niebieski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57B9" w:rsidRPr="003657B9" w:rsidRDefault="003657B9" w:rsidP="000C555A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652"/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Style w:val="hps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Zgrzewane szwy nieprzepuszczalne dla płynów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FF6118" w:rsidRDefault="003657B9" w:rsidP="00A673E5">
            <w:pPr>
              <w:spacing w:after="0" w:line="240" w:lineRule="auto"/>
              <w:rPr>
                <w:rStyle w:val="hps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Tkanina odporna na działanie standardowych środków dezynfekcyjnych używanych w szpitalach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11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Style w:val="hps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Zastosowany materiał zapobiega rozwojowi bakterii i drobnoustrojów, zwiększając ochronę przed zakażeniami wewnątrzszpitalnymi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Możliwość prania w pralce w temperaturze min. 90 st.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40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Odporność ogniowa M1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3657B9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FF6118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118">
              <w:rPr>
                <w:rFonts w:ascii="Times New Roman" w:hAnsi="Times New Roman" w:cs="Times New Roman"/>
                <w:b/>
              </w:rPr>
              <w:lastRenderedPageBreak/>
              <w:t>Koc bakteriostatyczny</w:t>
            </w: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FF6118" w:rsidRDefault="003657B9" w:rsidP="000C555A">
            <w:pPr>
              <w:spacing w:line="256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Wymiary: 110 x 190 cm (+/- 5%)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FF6118" w:rsidRDefault="003657B9" w:rsidP="000C555A">
            <w:pPr>
              <w:spacing w:line="256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Koc wykonany z poliestrowego pokrowca pokrytego powłoką poliuretanową, wypełniony włóknem poliestrowym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BC36A0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FF6118" w:rsidRDefault="003657B9" w:rsidP="000C555A">
            <w:pPr>
              <w:spacing w:line="256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 xml:space="preserve">Kolor: </w:t>
            </w:r>
            <w:r w:rsidR="00FF6118" w:rsidRPr="00FF6118">
              <w:rPr>
                <w:rFonts w:ascii="Times New Roman" w:hAnsi="Times New Roman" w:cs="Times New Roman"/>
                <w:lang w:val="cs-CZ"/>
              </w:rPr>
              <w:t>niebieski</w:t>
            </w:r>
            <w:r w:rsidRPr="00FF6118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FF6118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Warstwa przylegająca bezpośrednio do pacjenta: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miękka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elastyczna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nie przepuszcza płynów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paroprzepuszczalna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odporna na powstawanie pleśni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możliwość dezynfekcji przy pomocy standardowych środków chemicznych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odporny na działanie moczu i krwi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F83B4E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Warstwa środkowa:</w:t>
            </w:r>
          </w:p>
          <w:p w:rsidR="003657B9" w:rsidRPr="003657B9" w:rsidRDefault="003657B9" w:rsidP="00A673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wykonana z materiału termoizolacyjnego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F83B4E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A673E5">
            <w:pPr>
              <w:pStyle w:val="Bezodstpw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Warstwa zewnętrzna:</w:t>
            </w:r>
          </w:p>
          <w:p w:rsidR="003657B9" w:rsidRPr="003657B9" w:rsidRDefault="003657B9" w:rsidP="00A673E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wodoodporna</w:t>
            </w:r>
          </w:p>
          <w:p w:rsidR="003657B9" w:rsidRPr="003657B9" w:rsidRDefault="003657B9" w:rsidP="00A673E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łatwa w zmywaniu</w:t>
            </w:r>
          </w:p>
          <w:p w:rsidR="003657B9" w:rsidRPr="003657B9" w:rsidRDefault="003657B9" w:rsidP="00A673E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zabezpiecza pacjenta przed niekorzystnymi warunkami atmosferycznymi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F83B4E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A673E5">
            <w:pPr>
              <w:spacing w:after="0" w:line="240" w:lineRule="auto"/>
              <w:rPr>
                <w:rStyle w:val="hps"/>
                <w:color w:val="FF0000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Zgrzewane szwy nieprzepuszczalne dla płynów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A673E5">
            <w:pPr>
              <w:spacing w:after="0" w:line="240" w:lineRule="auto"/>
              <w:rPr>
                <w:rStyle w:val="hps"/>
                <w:color w:val="FF0000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Tkanina odporna na działanie standardowych środków dezynfekcyjnych używanych w szpitalach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A673E5">
            <w:pPr>
              <w:spacing w:after="0" w:line="240" w:lineRule="auto"/>
              <w:rPr>
                <w:rStyle w:val="hps"/>
                <w:color w:val="FF0000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Zastosowany materiał zapobiega rozwojowi bakterii i drobnoustrojów, zwiększając ochronę przed zakażeniami wewnątrzszpitalnymi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rPr>
                <w:rFonts w:ascii="Times New Roman" w:hAnsi="Times New Roman" w:cs="Times New Roman"/>
                <w:color w:val="FF0000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Możliwość prania w pralce w temperaturze min. 90 st.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Odporność ogniowa M1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EE0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A673E5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A673E5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</w:p>
    <w:bookmarkEnd w:id="2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FB6EBE" w:rsidRDefault="008C7EE0" w:rsidP="000C555A">
            <w:pPr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</w:pPr>
            <w:r w:rsidRPr="00FB6EBE"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FB6EBE">
              <w:rPr>
                <w:rFonts w:ascii="Arial" w:eastAsia="Times New Roman" w:hAnsi="Arial" w:cs="Arial"/>
                <w:bCs/>
                <w:strike/>
                <w:color w:val="FF0000"/>
                <w:sz w:val="20"/>
                <w:lang w:eastAsia="pl-PL"/>
              </w:rPr>
              <w:t xml:space="preserve"> – nie określanymi w instrukcji obsługi jako elementy zużywalne)</w:t>
            </w:r>
            <w:r w:rsidRPr="00FB6EBE"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  <w:t xml:space="preserve"> w okresie gwarancji dokonywane przez autoryzowany serwis producenta, 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FB6EBE" w:rsidRDefault="008C7EE0" w:rsidP="000C555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</w:pPr>
            <w:r w:rsidRPr="00FB6EBE"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FB6EBE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B6EBE"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  <w:t>-</w:t>
            </w:r>
          </w:p>
        </w:tc>
        <w:bookmarkStart w:id="3" w:name="_GoBack"/>
        <w:bookmarkEnd w:id="3"/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A673E5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A673E5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A673E5" w:rsidRPr="00A673E5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A673E5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A673E5" w:rsidRPr="00A673E5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A673E5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797FEF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B8" w:rsidRDefault="00A000B8" w:rsidP="002F2BC0">
      <w:pPr>
        <w:spacing w:after="0" w:line="240" w:lineRule="auto"/>
      </w:pPr>
      <w:r>
        <w:separator/>
      </w:r>
    </w:p>
  </w:endnote>
  <w:endnote w:type="continuationSeparator" w:id="0">
    <w:p w:rsidR="00A000B8" w:rsidRDefault="00A000B8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B8" w:rsidRDefault="00A000B8" w:rsidP="002F2BC0">
      <w:pPr>
        <w:spacing w:after="0" w:line="240" w:lineRule="auto"/>
      </w:pPr>
      <w:r>
        <w:separator/>
      </w:r>
    </w:p>
  </w:footnote>
  <w:footnote w:type="continuationSeparator" w:id="0">
    <w:p w:rsidR="00A000B8" w:rsidRDefault="00A000B8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A673E5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A673E5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A673E5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A673E5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56155"/>
    <w:rsid w:val="000604E6"/>
    <w:rsid w:val="000746F3"/>
    <w:rsid w:val="000761C6"/>
    <w:rsid w:val="00090063"/>
    <w:rsid w:val="00096F9F"/>
    <w:rsid w:val="000A61C7"/>
    <w:rsid w:val="000B2CF5"/>
    <w:rsid w:val="000D79C3"/>
    <w:rsid w:val="00100733"/>
    <w:rsid w:val="00141E64"/>
    <w:rsid w:val="00160D37"/>
    <w:rsid w:val="001C2310"/>
    <w:rsid w:val="00241D92"/>
    <w:rsid w:val="0028186E"/>
    <w:rsid w:val="002F0F61"/>
    <w:rsid w:val="002F2BC0"/>
    <w:rsid w:val="00315209"/>
    <w:rsid w:val="00331660"/>
    <w:rsid w:val="0034251C"/>
    <w:rsid w:val="003566D0"/>
    <w:rsid w:val="003657B9"/>
    <w:rsid w:val="003D547C"/>
    <w:rsid w:val="003D5602"/>
    <w:rsid w:val="00431999"/>
    <w:rsid w:val="00494E40"/>
    <w:rsid w:val="004A64C8"/>
    <w:rsid w:val="006D6CFD"/>
    <w:rsid w:val="006E1B70"/>
    <w:rsid w:val="006E7F90"/>
    <w:rsid w:val="00706369"/>
    <w:rsid w:val="00707AC8"/>
    <w:rsid w:val="007305C2"/>
    <w:rsid w:val="00761C07"/>
    <w:rsid w:val="00767A51"/>
    <w:rsid w:val="007762ED"/>
    <w:rsid w:val="00792286"/>
    <w:rsid w:val="00797FEF"/>
    <w:rsid w:val="007A1CC7"/>
    <w:rsid w:val="007A5134"/>
    <w:rsid w:val="007D0542"/>
    <w:rsid w:val="007D6BB3"/>
    <w:rsid w:val="008501ED"/>
    <w:rsid w:val="00864427"/>
    <w:rsid w:val="00895E0D"/>
    <w:rsid w:val="008A336A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000B8"/>
    <w:rsid w:val="00A0011D"/>
    <w:rsid w:val="00A346F2"/>
    <w:rsid w:val="00A6248E"/>
    <w:rsid w:val="00A673E5"/>
    <w:rsid w:val="00A76436"/>
    <w:rsid w:val="00A84B30"/>
    <w:rsid w:val="00A97C7C"/>
    <w:rsid w:val="00AC1F88"/>
    <w:rsid w:val="00B27E26"/>
    <w:rsid w:val="00B329F9"/>
    <w:rsid w:val="00B662EC"/>
    <w:rsid w:val="00BC36A0"/>
    <w:rsid w:val="00BE0E5A"/>
    <w:rsid w:val="00C0010F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C42DF"/>
    <w:rsid w:val="00DD10B5"/>
    <w:rsid w:val="00DD7170"/>
    <w:rsid w:val="00DE3581"/>
    <w:rsid w:val="00E33C7F"/>
    <w:rsid w:val="00E40887"/>
    <w:rsid w:val="00E60D87"/>
    <w:rsid w:val="00EA5D15"/>
    <w:rsid w:val="00EB0ADA"/>
    <w:rsid w:val="00F83B4E"/>
    <w:rsid w:val="00FB6EB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204C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7BA-8BE4-407A-A1ED-0EE1B130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2018-06-21T10:56:00Z</dcterms:created>
  <dcterms:modified xsi:type="dcterms:W3CDTF">2018-06-21T10:56:00Z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